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1D102">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bidi="ar"/>
        </w:rPr>
      </w:pPr>
      <w:r>
        <w:rPr>
          <w:rFonts w:hint="eastAsia" w:ascii="方正小标宋简体" w:hAnsi="方正小标宋简体" w:eastAsia="方正小标宋简体" w:cs="方正小标宋简体"/>
          <w:b w:val="0"/>
          <w:bCs w:val="0"/>
          <w:color w:val="000000"/>
          <w:kern w:val="0"/>
          <w:sz w:val="44"/>
          <w:szCs w:val="44"/>
          <w:lang w:val="en-US" w:eastAsia="zh-CN" w:bidi="ar"/>
        </w:rPr>
        <w:t xml:space="preserve"> 智慧医疗时代肿瘤疼痛管理的创新         路径：新技术与多学科整合</w:t>
      </w:r>
    </w:p>
    <w:p w14:paraId="72AD1E0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仿宋_GB2312" w:hAnsi="仿宋_GB2312" w:eastAsia="仿宋_GB2312" w:cs="仿宋_GB2312"/>
          <w:b w:val="0"/>
          <w:bCs w:val="0"/>
          <w:color w:val="000000"/>
          <w:kern w:val="0"/>
          <w:sz w:val="32"/>
          <w:szCs w:val="32"/>
          <w:lang w:val="en-US" w:eastAsia="zh-CN" w:bidi="ar"/>
        </w:rPr>
      </w:pPr>
      <w:r>
        <w:rPr>
          <w:rFonts w:hint="eastAsia" w:ascii="仿宋_GB2312" w:hAnsi="仿宋_GB2312" w:eastAsia="仿宋_GB2312" w:cs="仿宋_GB2312"/>
          <w:b w:val="0"/>
          <w:bCs w:val="0"/>
          <w:color w:val="000000"/>
          <w:kern w:val="0"/>
          <w:sz w:val="32"/>
          <w:szCs w:val="32"/>
          <w:lang w:val="en-US" w:eastAsia="zh-CN" w:bidi="ar"/>
        </w:rPr>
        <w:t xml:space="preserve">福建医科大学附属协和医院  陈紫涵 </w:t>
      </w:r>
    </w:p>
    <w:p w14:paraId="3133B27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center"/>
        <w:textAlignment w:val="auto"/>
        <w:rPr>
          <w:rFonts w:hint="eastAsia" w:ascii="仿宋_GB2312" w:hAnsi="仿宋_GB2312" w:eastAsia="仿宋_GB2312" w:cs="仿宋_GB2312"/>
          <w:b w:val="0"/>
          <w:bCs w:val="0"/>
          <w:color w:val="000000"/>
          <w:kern w:val="0"/>
          <w:sz w:val="32"/>
          <w:szCs w:val="32"/>
          <w:lang w:val="en-US" w:eastAsia="zh-CN" w:bidi="ar"/>
        </w:rPr>
      </w:pPr>
    </w:p>
    <w:p w14:paraId="247D776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肿瘤疼痛是癌症患者最常见且最痛苦的症状之一。据世界卫生组织（WHO）2023年数据，全球约30%-50%的癌症患者在病程中经历中重度疼痛，晚期患者疼痛发生率高达70%-90%。疼痛不仅严重损害患者的生活质量（</w:t>
      </w:r>
      <w:bookmarkStart w:id="0" w:name="_GoBack"/>
      <w:bookmarkEnd w:id="0"/>
      <w:r>
        <w:rPr>
          <w:rFonts w:hint="eastAsia" w:ascii="仿宋_GB2312" w:hAnsi="仿宋_GB2312" w:eastAsia="仿宋_GB2312" w:cs="仿宋_GB2312"/>
          <w:color w:val="000000"/>
          <w:kern w:val="0"/>
          <w:sz w:val="32"/>
          <w:szCs w:val="32"/>
          <w:lang w:val="en-US" w:eastAsia="zh-CN" w:bidi="ar"/>
        </w:rPr>
        <w:t>如睡眠障碍、食欲减退、情绪焦虑），还会降低治疗依从性（如拒绝化疗、放疗），甚至间接影响生存期。传统疼痛评估主要依赖患者自我报告（如视觉模拟评分法VAS、数字评分法NRS），存在主观性强、滞后性等局限；传统护理多以“按需给药”为主，缺乏个体化、多模式干预，难以满足患者复杂的疼痛需求。</w:t>
      </w:r>
    </w:p>
    <w:p w14:paraId="50422E4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近年来，随着人工智能（AI）、可穿戴设备、数字化技术等新技术的融入，肿瘤患者疼痛评估逐渐向客观化、实时化、精准化转变；规范化护理则向多模式、延续性、多学科协作（MDT）方向发展。本文综述近五年（2020-2025年）肿瘤患者疼痛评估的新技术及规范化护理的新进展，为临床实践提供参考。</w:t>
      </w:r>
    </w:p>
    <w:p w14:paraId="20C8A06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黑体" w:hAnsi="黑体" w:eastAsia="黑体" w:cs="黑体"/>
          <w:sz w:val="32"/>
          <w:szCs w:val="32"/>
        </w:rPr>
      </w:pPr>
      <w:r>
        <w:rPr>
          <w:rFonts w:hint="eastAsia" w:ascii="黑体" w:hAnsi="黑体" w:eastAsia="黑体" w:cs="黑体"/>
          <w:color w:val="000000"/>
          <w:kern w:val="0"/>
          <w:sz w:val="32"/>
          <w:szCs w:val="32"/>
          <w:lang w:val="en-US" w:eastAsia="zh-CN" w:bidi="ar"/>
        </w:rPr>
        <w:t>一、肿瘤患者疼痛评估的新技术</w:t>
      </w:r>
    </w:p>
    <w:p w14:paraId="1E2212A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传统疼痛评估的核心是“患者自我报告”，但受认知能力、情绪状态、文化背景等因素影响，准确性有限。新技术通过多维度数据融合，实现疼痛的客观量化评估，弥补了传统方法的不足。</w:t>
      </w:r>
    </w:p>
    <w:p w14:paraId="78434FC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（一）人工智能（AI）辅助评估：从“主观描述”到“客观预测”</w:t>
      </w:r>
    </w:p>
    <w:p w14:paraId="13E8FA6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AI通过机器学习算法分析患者的生理信号、行为特征和语言描述，构建疼痛评估模型，提高评估的准确性和效率。</w:t>
      </w:r>
    </w:p>
    <w:p w14:paraId="6B2BC22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面部表情识别：2023年《中华护理杂志》报道，研究团队开发了基于卷积神经网络（CNN）的面部表情识别模型，通过摄像头捕捉患者的皱眉、眯眼、嘴角下垂等微表情，结合心率变异性（HRV），预测疼痛评分与金标准（如专科医生综合评估）的符合率达89.2%，显著高于传统VAS评分法在临床应用中的评估一致性（72.5%）。该模型对无法语言沟通的患者尤其适用。</w:t>
      </w:r>
    </w:p>
    <w:p w14:paraId="7F80665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自然语言处理（NLP）：2024年《中国疼痛医学杂志》的研究利用NLP分析患者的疼痛描述，识别疼痛的性质（伤害性、神经病理性）和强度。例如，“针扎样”疼痛多提示神经病理性疼痛，“闷痛”多为伤害性疼痛，该技术可辅助护士初步判断疼痛类型，协助医生精准选择镇痛药物。</w:t>
      </w:r>
    </w:p>
    <w:p w14:paraId="50F6DF2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多模态融合模型：2022年 IEEE Journal of Biomedical and Health Informatics 的研究整合了生理信号（HRV、皮肤电反应GSR）、行为数据（面部表情、运动加速度）和临床信息（肿瘤类型、分期），构建了“疼痛预测模型”，对晚期癌症患者疼痛发作的预警准确率达92%，比单一指标评估的预测效能提高了30%。</w:t>
      </w:r>
    </w:p>
    <w:p w14:paraId="44795ACE">
      <w:pPr>
        <w:pStyle w:val="2"/>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可穿戴设备：实时监测疼痛的“隐形传感器”</w:t>
      </w:r>
    </w:p>
    <w:p w14:paraId="46E2C3BA">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90" w:lineRule="exact"/>
        <w:ind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可穿戴设备通过持续采集生理指标，反映疼痛引起的自主神经功能变化，实现疼痛的实时预警和动态监测，解决了传统评估“滞后性”的问题。</w:t>
      </w:r>
    </w:p>
    <w:p w14:paraId="2EB3F87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智能手环/手表：2022年《中国肿瘤临床》的研究显示，晚期癌症患者疼痛发作时，HRV的低频成分（LF，反映交感神经活性）显著升高，高频成分（HF，反映副交感神经活性）降低，LF/HF比值从正常的0.8-1.5升至2.0以上。智能手环通过监测HRV变化，可提前识别与疼痛发作相关的生理波动趋势（约提前30分钟），为超前干预提供参考依据，比单纯依赖患者事后回忆更及时。此外，部分智能手表还能监测睡眠中的翻身次数、呼吸频率，量化评估疼痛对睡眠的干扰程度。</w:t>
      </w:r>
    </w:p>
    <w:p w14:paraId="3396501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贴片式传感器：2023年 Sensors 杂志报道，一种柔性贴片传感器可贴敷于疼痛部位，监测肌肉紧张度和局部温度变化。当肌肉紧张度持续超过基础值20%以上时，提示疼痛可能发作或加剧，传感器通过蓝牙将数据传输至医护端，便于护士及时干预。</w:t>
      </w:r>
    </w:p>
    <w:p w14:paraId="7C3B7C6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植入式设备：针对难治性疼痛，2021年 Pain Medicine 报道了一种植入式神经刺激器，通过监测脊髓背角的神经电活动，实时调整刺激参数，实现“闭环镇痛”，使患者的疼痛评分从8分降至3分，阿片类药物用量减少50%。</w:t>
      </w:r>
    </w:p>
    <w:p w14:paraId="094DAD6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（三）数字化患者报告结局（PRO）工具：从“纸质问卷”到“实时交互”</w:t>
      </w:r>
    </w:p>
    <w:p w14:paraId="5F0C5F5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传统PRO多为纸质问卷，存在填写不便、数据统计滞后的问题。数字化PRO工具通过实时记录、自动同步、智能分析，提高了患者的依从性和护士的工作效率。</w:t>
      </w:r>
    </w:p>
    <w:p w14:paraId="126ECD7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实时疼痛日记：2023年《中国护理管理》的研究显示，使用数字化PRO工具的患者，疼痛评估依从性从65%提高到88%，护士获取并整理疼痛数据的时间从平均20分钟缩短至5分钟。患者可通过APP记录疼痛评分（NRS）、部位、性质及影响因素，数据自动生成趋势图，帮助护士识别疼痛的规律。</w:t>
      </w:r>
    </w:p>
    <w:p w14:paraId="6C1183E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智能提醒与预警：部分APP具备规则引擎，当患者输入“活动后疼痛加剧”时，APP可推送“避免剧烈运动”“使用拐杖”等个体化护理建议；当疼痛评分超过预设阈值（如7分）时，系统自动向责任护士发送预警提醒。</w:t>
      </w:r>
    </w:p>
    <w:p w14:paraId="7759571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跨平台共享：数字化PRO数据可同步至医院信息系统（HIS）、社区健康管理平台，实现“医院-社区-家庭”的疼痛管理数据衔接。例如，患者出院后，社区护士可通过平台查看患者的疼痛日记，动态调整居家护理方案。</w:t>
      </w:r>
    </w:p>
    <w:p w14:paraId="13DC2A6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（四）神经影像学技术：疼痛的“脑区定位”</w:t>
      </w:r>
    </w:p>
    <w:p w14:paraId="64376AF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功能磁共振成像（fMRI）、正电子发射断层扫描（PET）等神经影像学技术可检测疼痛相关脑区的活动，为神经病理性疼痛的诊断提供客观依据。</w:t>
      </w:r>
    </w:p>
    <w:p w14:paraId="580AD13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2024年 Nature Human Behaviour 的研究利用fMRI分析了100例晚期癌症患者的脑区活动，发现存在“疼痛灾难化”心理的患者，其前额叶皮层活动减弱，这为认知行为疗法（CBT）的应用提供了神经科学层面的依据。虽然神经影像学技术目前主要应用于科研领域，但随着便携式脑成像设备（如功能性近红外光谱fNIRS）的发展，未来有望逐步应用于临床，为复杂性疼痛提供“精准定位”依据。</w:t>
      </w:r>
    </w:p>
    <w:p w14:paraId="7AF80D5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黑体" w:hAnsi="黑体" w:eastAsia="黑体" w:cs="黑体"/>
          <w:sz w:val="32"/>
          <w:szCs w:val="32"/>
        </w:rPr>
      </w:pPr>
      <w:r>
        <w:rPr>
          <w:rFonts w:hint="eastAsia" w:ascii="黑体" w:hAnsi="黑体" w:eastAsia="黑体" w:cs="黑体"/>
          <w:color w:val="000000"/>
          <w:kern w:val="0"/>
          <w:sz w:val="32"/>
          <w:szCs w:val="32"/>
          <w:lang w:val="en-US" w:eastAsia="zh-CN" w:bidi="ar"/>
        </w:rPr>
        <w:t>二、肿瘤患者规范化护理的新进展</w:t>
      </w:r>
    </w:p>
    <w:p w14:paraId="61065A5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传统肿瘤疼痛护理以“药物镇痛”为核心，缺乏个体化和多模式干预。近五年，规范化护理逐渐向“多模式镇痛+延续性护理+多学科协作”模式转变，强调“身心社”整体护理，以提高患者的生活质量。</w:t>
      </w:r>
    </w:p>
    <w:p w14:paraId="63662DA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（一）多模式镇痛护理：从“单一药物”到“联合干预”</w:t>
      </w:r>
    </w:p>
    <w:p w14:paraId="28C17EC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多模式镇痛是指联合使用不同机制的镇痛药物（如阿片类+非甾体抗炎药+抗惊厥药）和非药物疗法（如CBT、正念冥想、物理治疗），以实现镇痛效果最大化、阿片类药物用量及副作用最小化。</w:t>
      </w:r>
    </w:p>
    <w:p w14:paraId="73BD48F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药物联合：2024年《中国疼痛医学杂志》的meta分析显示，多模式镇痛组患者的疼痛评分（NRS）比单纯药物组平均低1.5分，阿片类药物用量减少30%，便秘、恶心等副作用发生率降低25%。例如，肺癌骨转移患者使用吗啡（阿片类）+布洛芬（非甾体抗炎药）+加巴喷丁（抗惊厥药），可同时缓解骨转移引起的伤害性疼痛和肿瘤压迫神经所致的神经病理性疼痛。</w:t>
      </w:r>
    </w:p>
    <w:p w14:paraId="427BC83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非药物联合：2023年 Journal of Pain and Symptom Management 的研究显示，药物联合CBT（每周1次，共4次）比单纯药物治疗更能有效降低疼痛评分（NRS从7分降至3分 vs 5分），并显著改善患者的焦虑情绪（HADS焦虑评分从14分降至8分）。正念冥想（每天10分钟）可通过降低皮质醇水平（压力激素），缓解疼痛引起的情绪障碍，2022年 Cancer Nursing 的研究显示，正念冥想组患者的睡眠质量评分（PSQI）比对照组高3分。</w:t>
      </w:r>
    </w:p>
    <w:p w14:paraId="3E3769A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（二）延续性疼痛护理：从“医院内”到“医院外”</w:t>
      </w:r>
    </w:p>
    <w:p w14:paraId="56D05A9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延续性护理通过远程医疗、社区随访等方式，实现疼痛管理的“无缝衔接”，解决了患者出院后“疼痛控制不佳”的普遍问题。</w:t>
      </w:r>
    </w:p>
    <w:p w14:paraId="531EE48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远程随访：2023年《护理研究》的研究显示，晚期癌症患者出院后，通过手机APP每天报告疼痛评分，护士每周电话随访，动态调整护理方案，3个月后患者的疼痛控制率（NRS≤3分）从50%提高到75%，因疼痛控制不佳导致的再入院率从28%降低到15%。</w:t>
      </w:r>
    </w:p>
    <w:p w14:paraId="6767634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社区护理：社区护士定期上门，指导患者正确使用镇痛药物，预防用药错误；指导患者使用辅助器具以减轻活动相关性疼痛；开展社区“疼痛管理讲座”，纠正患者及家属对阿片类药物的认知误区。</w:t>
      </w:r>
    </w:p>
    <w:p w14:paraId="6BFA00D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家庭护理：针对居家终末期患者，护士需指导家属掌握基本的“疼痛评估技巧”，并共同制定“疼痛应急预案”。</w:t>
      </w:r>
    </w:p>
    <w:p w14:paraId="4CAD8F2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（三）多学科协作（MDT）疼痛管理：从“单一专业”到“团队合作”</w:t>
      </w:r>
    </w:p>
    <w:p w14:paraId="4973732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MDT模式整合了医生、护士、心理师、康复师、药师等专业人员，共同制定疼痛管理方案，有效应对复杂病因导致的疼痛。</w:t>
      </w:r>
    </w:p>
    <w:p w14:paraId="5C8A230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团队构成与职责：医生负责诊断疼痛原因、制定药物方案；护士负责动态疼痛评估、患者教育与随访、协调团队沟通；心理师负责缓解焦虑抑郁情绪；康复师负责指导运动疗法，缓解肌肉紧张与关节僵硬；药师负责药物相互作用审查。</w:t>
      </w:r>
    </w:p>
    <w:p w14:paraId="72FD146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临床效果：2022年《中华护理教育》的随机对照试验显示，MDT组患者的生活质量评分（EORTC QLQ-C30）比传统护理组高18分，焦虑抑郁评分（HADS）降低12分。</w:t>
      </w:r>
    </w:p>
    <w:p w14:paraId="7D3B008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（四）患者教育的数字化创新：从“被动接受”到“主动参与”</w:t>
      </w:r>
    </w:p>
    <w:p w14:paraId="326FC39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传统患者教育多为“口头讲解+宣传册”，效果有限。数字化教育通过虚拟现实（VR）、短视频、直播等方式，提高患者的参与度和学习效果。</w:t>
      </w:r>
    </w:p>
    <w:p w14:paraId="40C5788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VR模拟训练：2021年《护理学报》的研究显示，利用VR技术模拟“疼痛管理场景”，患者在实际操作中的正确率从60%提高到90%，焦虑评分降低15分。例如，患者通过VR眼镜“身临其境”地体验爆发痛的标准处理流程，有效增强其应对信心。</w:t>
      </w:r>
    </w:p>
    <w:p w14:paraId="1E3BF5A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短视频/直播：通过抖音、微信视频号等平台传播通俗易懂的疼痛管理知识，内容涵盖“疼痛评估方法”“非药物镇痛技巧”“药物副作用预防”等，可覆盖更广泛人群。2023年《中国护理管理》的研究显示，定期观看科普短视频的患者，其疼痛核心知识得分从60分提高到85分，治疗依从性提高30%。</w:t>
      </w:r>
    </w:p>
    <w:p w14:paraId="6360B08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个性化教育：根据患者的疼痛类型、文化背景与健康信念，通过APP或短信推送定制化的教育内容，提高健康教育的针对性和有效性。</w:t>
      </w:r>
    </w:p>
    <w:p w14:paraId="699C19B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黑体" w:hAnsi="黑体" w:eastAsia="黑体" w:cs="黑体"/>
          <w:sz w:val="32"/>
          <w:szCs w:val="32"/>
        </w:rPr>
      </w:pPr>
      <w:r>
        <w:rPr>
          <w:rFonts w:hint="eastAsia" w:ascii="黑体" w:hAnsi="黑体" w:eastAsia="黑体" w:cs="黑体"/>
          <w:color w:val="000000"/>
          <w:kern w:val="0"/>
          <w:sz w:val="32"/>
          <w:szCs w:val="32"/>
          <w:lang w:val="en-US" w:eastAsia="zh-CN" w:bidi="ar"/>
        </w:rPr>
        <w:t>三、讨论与展望</w:t>
      </w:r>
    </w:p>
    <w:p w14:paraId="45D8E6D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（一）新技术与规范化护理的优势</w:t>
      </w:r>
    </w:p>
    <w:p w14:paraId="522B6EE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1. 提高评估准确性：AI、可穿戴设备等新技术弥补了传统评估的滞后性与主观性，实现了疼痛的客观量化与早期预警，尤其惠及无法有效自我表达的沟通障碍患者。</w:t>
      </w:r>
    </w:p>
    <w:p w14:paraId="3FF6D2F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2. 增强护理个体化：数字化PRO、MDT模式等使护理团队能基于患者的疼痛表型、心理状态、生活环境制定精准化方案，提升镇痛效果。</w:t>
      </w:r>
    </w:p>
    <w:p w14:paraId="53CBAC7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3. 改善患者结局：多模式镇痛、延续性护理等综合措施，有效降低了疼痛强度，改善了生活质量，并减少了可避免的再入院。</w:t>
      </w:r>
    </w:p>
    <w:p w14:paraId="2398E85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（二）存在的问题与挑战</w:t>
      </w:r>
    </w:p>
    <w:p w14:paraId="7128C24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1. 新技术的临床验证不足：AI模型的普适性受限于训练数据的多样性，尚需更多大样本、多中心的临床研究验证其稳定性和有效性；部分可穿戴设备的监测精度有待提升。</w:t>
      </w:r>
    </w:p>
    <w:p w14:paraId="239E30C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2. 医护人员技能培训滞后：部分临床护士对AI辅助工具、数字化PRO平台等新技术的操作与数据解读不熟悉，亟需在院校教育与在职培训中融入“数字健康”与“智能护理”相关课程。</w:t>
      </w:r>
    </w:p>
    <w:p w14:paraId="4BC9D06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3. 成本、可及性与伦理挑战：高端可穿戴设备、VR训练系统等成本较高，医保支付政策覆盖有限，可能加剧健康不平等。此外，面部识别、持续生理监测涉及大量患者隐私数据，相关的数据安全法规、使用边界和伦理审查体系尚需同步完善，以确保技术创新在伦理的框架内健康发展。</w:t>
      </w:r>
    </w:p>
    <w:p w14:paraId="74C149F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（三）未来展望</w:t>
      </w:r>
    </w:p>
    <w:p w14:paraId="5CF6DF7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1. 技术创新：开发更具普适性、低成本的AI评估模型，提升疼痛评估的特异性与预测能力；推广便携、舒适、低功耗的可穿戴传感器，降低患者经济与生理负担。</w:t>
      </w:r>
    </w:p>
    <w:p w14:paraId="1364691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2. 护理模式创新：依托5G、物联网等技术，构建完善的“医院-社区-家庭”三级联动的全周期疼痛管理网络；通过标准化培训与远程指导，推动MDT模式在基层医疗机构的普及，提升疼痛管理的整体同质化水平。</w:t>
      </w:r>
    </w:p>
    <w:p w14:paraId="7B65262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3. 政策支持：推动卫生政策与医保支付方式改革，探索将经过卫生经济学评估的成熟新技术纳入常规医疗服务体系；制定并更新“肿瘤疼痛规范化护理循证指南”，明确护理路径与质量标准。</w:t>
      </w:r>
    </w:p>
    <w:p w14:paraId="31D7ED2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4. 患者赋能：借助智能化、互动式的数字化教育工具，持续提升患者的健康素养与自我管理效能感，鼓励其从被动接受者转变为主动参与者，共同决策，最终实现“医护-患者”双主体协同的疼痛管理模式。</w:t>
      </w:r>
    </w:p>
    <w:p w14:paraId="6E1AB68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3B9207DB">
      <w:pPr>
        <w:keepNext w:val="0"/>
        <w:keepLines w:val="0"/>
        <w:pageBreakBefore w:val="0"/>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lang w:val="en-US" w:eastAsia="zh-CN"/>
        </w:rPr>
      </w:pPr>
    </w:p>
    <w:p w14:paraId="79FD1BAF">
      <w:pPr>
        <w:keepNext w:val="0"/>
        <w:keepLines w:val="0"/>
        <w:pageBreakBefore w:val="0"/>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lang w:val="en-US" w:eastAsia="zh-CN"/>
        </w:rPr>
      </w:pPr>
    </w:p>
    <w:p w14:paraId="05A5E7D5">
      <w:pPr>
        <w:keepNext w:val="0"/>
        <w:keepLines w:val="0"/>
        <w:pageBreakBefore w:val="0"/>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lang w:val="en-US" w:eastAsia="zh-CN"/>
        </w:rPr>
      </w:pPr>
    </w:p>
    <w:p w14:paraId="1E9B8D23">
      <w:pPr>
        <w:keepNext w:val="0"/>
        <w:keepLines w:val="0"/>
        <w:pageBreakBefore w:val="0"/>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lang w:val="en-US" w:eastAsia="zh-CN"/>
        </w:rPr>
      </w:pPr>
    </w:p>
    <w:p w14:paraId="688434AB">
      <w:pPr>
        <w:keepNext w:val="0"/>
        <w:keepLines w:val="0"/>
        <w:pageBreakBefore w:val="0"/>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lang w:val="en-US" w:eastAsia="zh-CN"/>
        </w:rPr>
      </w:pPr>
    </w:p>
    <w:p w14:paraId="0A977AC2">
      <w:pPr>
        <w:keepNext w:val="0"/>
        <w:keepLines w:val="0"/>
        <w:pageBreakBefore w:val="0"/>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lang w:val="en-US" w:eastAsia="zh-CN"/>
        </w:rPr>
      </w:pPr>
    </w:p>
    <w:p w14:paraId="6A98BE7F">
      <w:pPr>
        <w:keepNext w:val="0"/>
        <w:keepLines w:val="0"/>
        <w:pageBreakBefore w:val="0"/>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lang w:val="en-US" w:eastAsia="zh-CN"/>
        </w:rPr>
      </w:pPr>
    </w:p>
    <w:p w14:paraId="3295AC7C">
      <w:pPr>
        <w:keepNext w:val="0"/>
        <w:keepLines w:val="0"/>
        <w:pageBreakBefore w:val="0"/>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lang w:val="en-US" w:eastAsia="zh-CN"/>
        </w:rPr>
      </w:pPr>
    </w:p>
    <w:p w14:paraId="67858DF2">
      <w:pPr>
        <w:keepNext w:val="0"/>
        <w:keepLines w:val="0"/>
        <w:pageBreakBefore w:val="0"/>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lang w:val="en-US" w:eastAsia="zh-CN"/>
        </w:rPr>
      </w:pPr>
    </w:p>
    <w:p w14:paraId="034287CB">
      <w:pPr>
        <w:keepNext w:val="0"/>
        <w:keepLines w:val="0"/>
        <w:pageBreakBefore w:val="0"/>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lang w:val="en-US" w:eastAsia="zh-CN"/>
        </w:rPr>
      </w:pPr>
    </w:p>
    <w:p w14:paraId="00127015">
      <w:pPr>
        <w:keepNext w:val="0"/>
        <w:keepLines w:val="0"/>
        <w:pageBreakBefore w:val="0"/>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lang w:val="en-US" w:eastAsia="zh-CN"/>
        </w:rPr>
      </w:pPr>
    </w:p>
    <w:p w14:paraId="26A4E3F4">
      <w:pPr>
        <w:keepNext w:val="0"/>
        <w:keepLines w:val="0"/>
        <w:pageBreakBefore w:val="0"/>
        <w:kinsoku/>
        <w:wordWrap/>
        <w:overflowPunct/>
        <w:topLinePunct w:val="0"/>
        <w:autoSpaceDE/>
        <w:autoSpaceDN/>
        <w:bidi w:val="0"/>
        <w:adjustRightInd/>
        <w:snapToGrid/>
        <w:spacing w:line="59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附单项选择题</w:t>
      </w:r>
    </w:p>
    <w:p w14:paraId="68B87E0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1. 根据2023年《中华护理杂志》研究，基于CNN的面部表情识别模型对疼痛评分的预测准确率是多少？</w:t>
      </w:r>
    </w:p>
    <w:p w14:paraId="54A14AF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A. 72.5%</w:t>
      </w:r>
    </w:p>
    <w:p w14:paraId="53A30F1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B. 85.0%</w:t>
      </w:r>
    </w:p>
    <w:p w14:paraId="4810452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C. 89.2%</w:t>
      </w:r>
    </w:p>
    <w:p w14:paraId="64D099C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D. 92.0%</w:t>
      </w:r>
    </w:p>
    <w:p w14:paraId="2AF61F8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2. 智能手环监测HRV变化可提前多久预警疼痛发作？</w:t>
      </w:r>
    </w:p>
    <w:p w14:paraId="1C45342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A. 10分钟</w:t>
      </w:r>
    </w:p>
    <w:p w14:paraId="48998B3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B. 30分钟</w:t>
      </w:r>
    </w:p>
    <w:p w14:paraId="6D0A2A9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C. 1小时</w:t>
      </w:r>
    </w:p>
    <w:p w14:paraId="4A7DF2D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D. 2小时</w:t>
      </w:r>
    </w:p>
    <w:p w14:paraId="7B8BF1A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3. 下列哪项属于神经影像学技术在疼痛评估中的应用？</w:t>
      </w:r>
    </w:p>
    <w:p w14:paraId="0E9A345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A. 监测肌肉紧张度</w:t>
      </w:r>
    </w:p>
    <w:p w14:paraId="438B8C4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B. 分析前额叶皮层活动（fMRI研究）</w:t>
      </w:r>
    </w:p>
    <w:p w14:paraId="6B8D618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C. 记录翻身次数</w:t>
      </w:r>
    </w:p>
    <w:p w14:paraId="36E6141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D. 测量皮肤电导</w:t>
      </w:r>
    </w:p>
    <w:p w14:paraId="2D77733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4. 多模式镇痛中，肺癌骨转移患者常联用的三类药物不包括？</w:t>
      </w:r>
    </w:p>
    <w:p w14:paraId="23EF548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A. 吗啡（阿片类）</w:t>
      </w:r>
    </w:p>
    <w:p w14:paraId="4BDA647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B. 布洛芬（非甾体抗炎药）</w:t>
      </w:r>
    </w:p>
    <w:p w14:paraId="590D29D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C. 加巴喷丁（抗惊厥药）</w:t>
      </w:r>
    </w:p>
    <w:p w14:paraId="17D4CB1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D. 二甲双胍（降糖药）</w:t>
      </w:r>
    </w:p>
    <w:p w14:paraId="3AA2847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5. 数字化PRO工具通过哪种方式提升患者依从性？</w:t>
      </w:r>
    </w:p>
    <w:p w14:paraId="7BB9AC4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A. 纸质问卷填写</w:t>
      </w:r>
    </w:p>
    <w:p w14:paraId="0D177C4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B. 实时疼痛日记与趋势图生成</w:t>
      </w:r>
    </w:p>
    <w:p w14:paraId="5F6580A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C. 仅限出院后随访</w:t>
      </w:r>
    </w:p>
    <w:p w14:paraId="0271B6B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D. 减少药物剂量</w:t>
      </w:r>
    </w:p>
    <w:p w14:paraId="358D4B9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6. 社区疼痛护理的核心措施不包括？</w:t>
      </w:r>
    </w:p>
    <w:p w14:paraId="1D41693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A. 指导正确使用镇痛药物</w:t>
      </w:r>
    </w:p>
    <w:p w14:paraId="47187B9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B. 开展肿瘤根治手术</w:t>
      </w:r>
    </w:p>
    <w:p w14:paraId="1B93A13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C. 使用辅助器具减轻活动痛</w:t>
      </w:r>
    </w:p>
    <w:p w14:paraId="69D1729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D. 组织疼痛管理讲座</w:t>
      </w:r>
    </w:p>
    <w:p w14:paraId="01E9207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7. MDT团队中，心理师的主要职责是？</w:t>
      </w:r>
    </w:p>
    <w:p w14:paraId="71E087F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A. 制定药物方案</w:t>
      </w:r>
    </w:p>
    <w:p w14:paraId="63A499B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B. 缓解焦虑抑郁情绪</w:t>
      </w:r>
    </w:p>
    <w:p w14:paraId="3EA65CE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C. 指导运动疗法</w:t>
      </w:r>
    </w:p>
    <w:p w14:paraId="19956EC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D. 审查药物相互作用</w:t>
      </w:r>
    </w:p>
    <w:p w14:paraId="2642455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8. VR模拟训练使患者疼痛处理正确率提升多少？</w:t>
      </w:r>
    </w:p>
    <w:p w14:paraId="33BB220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A. 20%</w:t>
      </w:r>
    </w:p>
    <w:p w14:paraId="36B8927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B. 30%</w:t>
      </w:r>
    </w:p>
    <w:p w14:paraId="0E2751F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C. 50%</w:t>
      </w:r>
    </w:p>
    <w:p w14:paraId="50E67FC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D. 70%</w:t>
      </w:r>
    </w:p>
    <w:p w14:paraId="31EF36A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9. 2024年Nature Human Behaviour研究发现，疼痛灾难化患者的哪部分脑区活动减弱？</w:t>
      </w:r>
    </w:p>
    <w:p w14:paraId="7D42E64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A. 小脑</w:t>
      </w:r>
    </w:p>
    <w:p w14:paraId="0BC345D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B. 前额叶皮层</w:t>
      </w:r>
    </w:p>
    <w:p w14:paraId="572ED64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C. 海马体</w:t>
      </w:r>
    </w:p>
    <w:p w14:paraId="3304724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D. 杏仁核</w:t>
      </w:r>
    </w:p>
    <w:p w14:paraId="106FD70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10. 下列哪项不属于可穿戴设备的新技术应用？</w:t>
      </w:r>
    </w:p>
    <w:p w14:paraId="393D45B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A. 柔性贴片监测肌肉紧张度</w:t>
      </w:r>
    </w:p>
    <w:p w14:paraId="1519195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B. 静态心电图监测</w:t>
      </w:r>
    </w:p>
    <w:p w14:paraId="5AD565B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C. 植入式神经刺激器闭环镇痛</w:t>
      </w:r>
    </w:p>
    <w:p w14:paraId="1DEA5A3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D. 智能手表监测睡眠呼吸频率</w:t>
      </w:r>
    </w:p>
    <w:p w14:paraId="71EA3AA0">
      <w:pPr>
        <w:pStyle w:val="2"/>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rPr>
      </w:pPr>
    </w:p>
    <w:p w14:paraId="1C02BE84">
      <w:pPr>
        <w:spacing w:line="360" w:lineRule="auto"/>
        <w:rPr>
          <w:rFonts w:hint="eastAsia" w:ascii="宋体" w:hAnsi="宋体" w:eastAsia="宋体" w:cs="宋体"/>
          <w:sz w:val="24"/>
          <w:szCs w:val="24"/>
          <w:lang w:val="en-US" w:eastAsia="zh-CN"/>
        </w:rPr>
      </w:pPr>
    </w:p>
    <w:sectPr>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Neue">
    <w:altName w:val="Times New Roman"/>
    <w:panose1 w:val="02000503000000020004"/>
    <w:charset w:val="00"/>
    <w:family w:val="auto"/>
    <w:pitch w:val="default"/>
    <w:sig w:usb0="00000000" w:usb1="00000000" w:usb2="0000001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2F510"/>
    <w:multiLevelType w:val="singleLevel"/>
    <w:tmpl w:val="C892F510"/>
    <w:lvl w:ilvl="0" w:tentative="0">
      <w:start w:val="10"/>
      <w:numFmt w:val="chineseCounting"/>
      <w:suff w:val="space"/>
      <w:lvlText w:val="第%1讲"/>
      <w:lvlJc w:val="left"/>
      <w:rPr>
        <w:rFonts w:hint="eastAsia"/>
      </w:rPr>
    </w:lvl>
  </w:abstractNum>
  <w:abstractNum w:abstractNumId="1">
    <w:nsid w:val="CADFF2F2"/>
    <w:multiLevelType w:val="singleLevel"/>
    <w:tmpl w:val="CADFF2F2"/>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FDEFD0"/>
    <w:rsid w:val="176CC0F1"/>
    <w:rsid w:val="215E244E"/>
    <w:rsid w:val="25595889"/>
    <w:rsid w:val="3EFF46C5"/>
    <w:rsid w:val="5607025D"/>
    <w:rsid w:val="598F2CEF"/>
    <w:rsid w:val="59D136AB"/>
    <w:rsid w:val="65F7852F"/>
    <w:rsid w:val="6AF7CC22"/>
    <w:rsid w:val="6EFDEFD0"/>
    <w:rsid w:val="77DF6E06"/>
    <w:rsid w:val="7DCD4376"/>
    <w:rsid w:val="7FE3DBCB"/>
    <w:rsid w:val="7FF7046E"/>
    <w:rsid w:val="B1EF6B41"/>
    <w:rsid w:val="BF7B8CCC"/>
    <w:rsid w:val="D0EFB887"/>
    <w:rsid w:val="D9FF977E"/>
    <w:rsid w:val="EBFD998B"/>
    <w:rsid w:val="EF577784"/>
    <w:rsid w:val="F7C7EC48"/>
    <w:rsid w:val="FFF53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Hyperlink"/>
    <w:basedOn w:val="4"/>
    <w:uiPriority w:val="0"/>
    <w:rPr>
      <w:color w:val="0000FF"/>
      <w:u w:val="single"/>
    </w:rPr>
  </w:style>
  <w:style w:type="paragraph" w:customStyle="1" w:styleId="6">
    <w:name w:val="p1"/>
    <w:basedOn w:val="1"/>
    <w:qFormat/>
    <w:uiPriority w:val="0"/>
    <w:pPr>
      <w:spacing w:before="0" w:beforeAutospacing="0" w:after="0" w:afterAutospacing="0" w:line="380" w:lineRule="atLeast"/>
      <w:ind w:left="0" w:right="0"/>
      <w:jc w:val="left"/>
    </w:pPr>
    <w:rPr>
      <w:rFonts w:ascii="Helvetica Neue" w:hAnsi="Helvetica Neue" w:eastAsia="Helvetica Neue" w:cs="Helvetica Neue"/>
      <w:color w:val="000000"/>
      <w:kern w:val="0"/>
      <w:sz w:val="26"/>
      <w:szCs w:val="26"/>
      <w:lang w:val="en-US" w:eastAsia="zh-CN" w:bidi="ar"/>
    </w:rPr>
  </w:style>
  <w:style w:type="paragraph" w:customStyle="1" w:styleId="7">
    <w:name w:val="p2"/>
    <w:basedOn w:val="1"/>
    <w:uiPriority w:val="0"/>
    <w:pPr>
      <w:spacing w:before="0" w:beforeAutospacing="0" w:after="0" w:afterAutospacing="0" w:line="380" w:lineRule="atLeast"/>
      <w:ind w:left="0" w:right="0"/>
      <w:jc w:val="left"/>
    </w:pPr>
    <w:rPr>
      <w:rFonts w:hint="default" w:ascii="Helvetica Neue" w:hAnsi="Helvetica Neue" w:eastAsia="Helvetica Neue" w:cs="Helvetica Neue"/>
      <w:color w:val="000000"/>
      <w:kern w:val="0"/>
      <w:sz w:val="26"/>
      <w:szCs w:val="26"/>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4974</Words>
  <Characters>5460</Characters>
  <Lines>0</Lines>
  <Paragraphs>0</Paragraphs>
  <TotalTime>5</TotalTime>
  <ScaleCrop>false</ScaleCrop>
  <LinksUpToDate>false</LinksUpToDate>
  <CharactersWithSpaces>5563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2026-03-05T06:10:00Z</dcterms:created>
  <dc:creator>ZIHAN</dc:creator>
  <cp:lastModifiedBy>轻舞飞扬</cp:lastModifiedBy>
  <dcterms:modified xsi:type="dcterms:W3CDTF">2026-04-27T08:03:13Z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0252070ACD6B76FAE9CCA7693AE13648_41</vt:lpwstr>
  </property>
  <property fmtid="{D5CDD505-2E9C-101B-9397-08002B2CF9AE}" pid="4" name="KSOTemplateDocerSaveRecord">
    <vt:lpwstr>eyJoZGlkIjoiODBmNTMzZjkzYzI0YjY0ZTVkNDZkMTM4NTY2ZGEwNjciLCJ1c2VySWQiOiI1OTU4NDk1MTUifQ==</vt:lpwstr>
  </property>
</Properties>
</file>